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A00DF" w:rsidRDefault="00F92268" w:rsidP="00B73153">
      <w:pPr>
        <w:pStyle w:val="BodyText"/>
        <w:spacing w:after="0"/>
        <w:rPr>
          <w:sz w:val="6"/>
          <w:szCs w:val="6"/>
        </w:rPr>
      </w:pPr>
      <w:r w:rsidRPr="004A00D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A00D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A00DF" w:rsidRDefault="00F92268" w:rsidP="00F246C7">
            <w:pPr>
              <w:pStyle w:val="RefTableData"/>
            </w:pPr>
            <w:r w:rsidRPr="004A00DF">
              <w:t>Reference number(s)</w:t>
            </w:r>
          </w:p>
        </w:tc>
      </w:tr>
      <w:tr w:rsidR="00F92268" w:rsidRPr="004A00D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CD0174F" w:rsidR="00F92268" w:rsidRPr="004A00DF" w:rsidRDefault="009B2494" w:rsidP="00F246C7">
            <w:pPr>
              <w:pStyle w:val="RefTableHeader"/>
            </w:pPr>
            <w:r w:rsidRPr="004A00DF">
              <w:t>2380-A</w:t>
            </w:r>
          </w:p>
        </w:tc>
      </w:tr>
    </w:tbl>
    <w:p w14:paraId="74FBA5B4" w14:textId="77777777" w:rsidR="00051356" w:rsidRPr="004A00DF" w:rsidRDefault="00051356" w:rsidP="00B73153">
      <w:pPr>
        <w:pStyle w:val="BodyText"/>
        <w:spacing w:after="0"/>
        <w:rPr>
          <w:b/>
          <w:bCs/>
          <w:sz w:val="16"/>
          <w:szCs w:val="16"/>
        </w:rPr>
        <w:sectPr w:rsidR="00051356" w:rsidRPr="004A00DF" w:rsidSect="0083398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31B8300" w:rsidR="004B15BB" w:rsidRPr="004A00DF" w:rsidRDefault="0065721A" w:rsidP="0065721A">
      <w:pPr>
        <w:pStyle w:val="Heading1"/>
      </w:pPr>
      <w:r w:rsidRPr="004A00DF">
        <w:t>Specialty Guideline Management</w:t>
      </w:r>
      <w:r w:rsidRPr="004A00DF">
        <w:br/>
      </w:r>
      <w:r w:rsidR="00DC6120" w:rsidRPr="004A00DF">
        <w:t>zoledronic acid</w:t>
      </w:r>
      <w:r w:rsidR="00DC6120">
        <w:t>-</w:t>
      </w:r>
      <w:proofErr w:type="spellStart"/>
      <w:r w:rsidRPr="004A00DF">
        <w:t>Reclast</w:t>
      </w:r>
      <w:proofErr w:type="spellEnd"/>
    </w:p>
    <w:p w14:paraId="78861C92" w14:textId="417D5976" w:rsidR="00203468" w:rsidRPr="004A00DF" w:rsidRDefault="00C64534" w:rsidP="008E0F0D">
      <w:pPr>
        <w:pStyle w:val="Heading2"/>
      </w:pPr>
      <w:r w:rsidRPr="004A00DF">
        <w:t xml:space="preserve">Products Referenced by this </w:t>
      </w:r>
      <w:r w:rsidR="00501602" w:rsidRPr="004A00DF">
        <w:t>Document</w:t>
      </w:r>
    </w:p>
    <w:p w14:paraId="5455152B" w14:textId="37317F31" w:rsidR="008E0F0D" w:rsidRPr="004A00DF" w:rsidRDefault="00D82D85" w:rsidP="008B73E8">
      <w:pPr>
        <w:pStyle w:val="BodyText"/>
      </w:pPr>
      <w:r w:rsidRPr="004A00DF">
        <w:t xml:space="preserve">Drugs that are listed in the </w:t>
      </w:r>
      <w:r w:rsidR="000315F1" w:rsidRPr="004A00DF">
        <w:t>following table</w:t>
      </w:r>
      <w:r w:rsidRPr="004A00DF">
        <w:t xml:space="preserve"> include both brand and generic and all dosage forms and strengths unless otherwise stated. </w:t>
      </w:r>
      <w:r w:rsidR="00105A2A">
        <w:t>Over-the-counter (</w:t>
      </w:r>
      <w:r w:rsidRPr="004A00DF">
        <w:t>OTC</w:t>
      </w:r>
      <w:r w:rsidR="00105A2A">
        <w:t>)</w:t>
      </w:r>
      <w:r w:rsidRPr="004A00D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4A00DF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4A00DF" w:rsidRDefault="00252CE1" w:rsidP="00AA1E6A">
            <w:pPr>
              <w:pStyle w:val="TableHeader"/>
            </w:pPr>
            <w:bookmarkStart w:id="0" w:name="_Hlk159603270"/>
            <w:r w:rsidRPr="004A00DF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4A00DF" w:rsidRDefault="00252CE1" w:rsidP="00AA1E6A">
            <w:pPr>
              <w:pStyle w:val="TableHeader"/>
            </w:pPr>
            <w:r w:rsidRPr="004A00DF">
              <w:t>Generic Name</w:t>
            </w:r>
          </w:p>
        </w:tc>
      </w:tr>
      <w:tr w:rsidR="00585FFF" w:rsidRPr="004A00DF" w14:paraId="2AD5C02D" w14:textId="77777777" w:rsidTr="000C5A6F">
        <w:trPr>
          <w:cantSplit/>
        </w:trPr>
        <w:tc>
          <w:tcPr>
            <w:tcW w:w="5265" w:type="dxa"/>
          </w:tcPr>
          <w:p w14:paraId="2D8FA8E3" w14:textId="27FACAF5" w:rsidR="00585FFF" w:rsidRPr="004A00DF" w:rsidRDefault="0065721A" w:rsidP="00E82ABA">
            <w:pPr>
              <w:pStyle w:val="TableDataUnpadded"/>
            </w:pPr>
            <w:proofErr w:type="spellStart"/>
            <w:r w:rsidRPr="004A00DF">
              <w:t>Reclast</w:t>
            </w:r>
            <w:proofErr w:type="spellEnd"/>
          </w:p>
        </w:tc>
        <w:tc>
          <w:tcPr>
            <w:tcW w:w="5595" w:type="dxa"/>
          </w:tcPr>
          <w:p w14:paraId="7E26A004" w14:textId="407D0CA1" w:rsidR="00585FFF" w:rsidRPr="004A00DF" w:rsidRDefault="0065721A" w:rsidP="00E82ABA">
            <w:pPr>
              <w:pStyle w:val="TableDataUnpadded"/>
            </w:pPr>
            <w:r w:rsidRPr="004A00DF">
              <w:t>zoledronic acid</w:t>
            </w:r>
          </w:p>
        </w:tc>
      </w:tr>
    </w:tbl>
    <w:bookmarkEnd w:id="0"/>
    <w:p w14:paraId="14CE6108" w14:textId="00DDE222" w:rsidR="00FC1AAD" w:rsidRPr="004A00DF" w:rsidRDefault="00ED052F" w:rsidP="00AA2A94">
      <w:pPr>
        <w:pStyle w:val="Heading2"/>
        <w:tabs>
          <w:tab w:val="left" w:pos="9540"/>
        </w:tabs>
      </w:pPr>
      <w:r w:rsidRPr="004A00DF">
        <w:t>Indications</w:t>
      </w:r>
    </w:p>
    <w:p w14:paraId="65A3773D" w14:textId="51E5B955" w:rsidR="0065721A" w:rsidRPr="004A00DF" w:rsidRDefault="0065721A" w:rsidP="0065721A">
      <w:pPr>
        <w:pStyle w:val="BodyText"/>
      </w:pPr>
      <w:r w:rsidRPr="004A00D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3632B2DA" w14:textId="5B38D2CB" w:rsidR="00516F86" w:rsidRPr="00516F86" w:rsidRDefault="00ED052F" w:rsidP="0078169A">
      <w:pPr>
        <w:pStyle w:val="Heading3"/>
        <w:keepNext w:val="0"/>
      </w:pPr>
      <w:r w:rsidRPr="004A00DF">
        <w:t>FDA-</w:t>
      </w:r>
      <w:r w:rsidR="00F36878">
        <w:t>A</w:t>
      </w:r>
      <w:r w:rsidRPr="004A00DF">
        <w:t>pproved Indications</w:t>
      </w:r>
      <w:r w:rsidR="0065721A" w:rsidRPr="004A00DF">
        <w:rPr>
          <w:vertAlign w:val="superscript"/>
        </w:rPr>
        <w:t>1,2</w:t>
      </w:r>
    </w:p>
    <w:p w14:paraId="281EAA3C" w14:textId="2F746584" w:rsidR="0065721A" w:rsidRPr="00516F86" w:rsidRDefault="0065721A" w:rsidP="004E02BE">
      <w:pPr>
        <w:pStyle w:val="ListParagraph"/>
      </w:pPr>
      <w:r w:rsidRPr="00516F86">
        <w:t>Treatment and prevention of osteoporosis in postmenopausal women</w:t>
      </w:r>
    </w:p>
    <w:p w14:paraId="3B757F7D" w14:textId="2DFBA88A" w:rsidR="0065721A" w:rsidRPr="00516F86" w:rsidRDefault="0065721A" w:rsidP="004E02BE">
      <w:pPr>
        <w:pStyle w:val="ListParagraph"/>
      </w:pPr>
      <w:r w:rsidRPr="00516F86">
        <w:t>Treatment to increase bone mass in men with osteoporosis</w:t>
      </w:r>
    </w:p>
    <w:p w14:paraId="25A8A106" w14:textId="47DC03A2" w:rsidR="0065721A" w:rsidRPr="00516F86" w:rsidRDefault="0065721A" w:rsidP="004E02BE">
      <w:pPr>
        <w:pStyle w:val="ListParagraph"/>
      </w:pPr>
      <w:r w:rsidRPr="00516F86">
        <w:t>Treatment and prevention of glucocorticoid-induced osteoporosis in patients expected to be on glucocorticoids for at least 12 months</w:t>
      </w:r>
    </w:p>
    <w:p w14:paraId="25D03D05" w14:textId="2A7D7F90" w:rsidR="0065721A" w:rsidRPr="00516F86" w:rsidRDefault="0065721A" w:rsidP="004E02BE">
      <w:pPr>
        <w:pStyle w:val="ListParagraph"/>
      </w:pPr>
      <w:r w:rsidRPr="00516F86">
        <w:t>Treatment of Paget’s disease of bone in men and women</w:t>
      </w:r>
    </w:p>
    <w:p w14:paraId="4C6062C4" w14:textId="77777777" w:rsidR="00F36878" w:rsidRDefault="0065721A" w:rsidP="0078169A">
      <w:pPr>
        <w:pStyle w:val="Heading4"/>
      </w:pPr>
      <w:r w:rsidRPr="004A00DF">
        <w:t>Limitations of Use</w:t>
      </w:r>
    </w:p>
    <w:p w14:paraId="626FAE8F" w14:textId="28B9DA89" w:rsidR="0065721A" w:rsidRDefault="0065721A" w:rsidP="00F36878">
      <w:pPr>
        <w:pStyle w:val="BodyText"/>
      </w:pPr>
      <w:r w:rsidRPr="004A00DF">
        <w:t>Optimal duration of use has not been determined. For patients of low-risk for fracture, consider drug discontinuation after 3 to 5 years of use.</w:t>
      </w:r>
    </w:p>
    <w:p w14:paraId="281A8EE1" w14:textId="028E9B04" w:rsidR="00F512BC" w:rsidRDefault="00F512BC" w:rsidP="00F512BC">
      <w:pPr>
        <w:pStyle w:val="Heading3"/>
      </w:pPr>
      <w:r>
        <w:t>Compendial Uses</w:t>
      </w:r>
      <w:r w:rsidR="00251AC2">
        <w:rPr>
          <w:vertAlign w:val="superscript"/>
        </w:rPr>
        <w:t>9</w:t>
      </w:r>
    </w:p>
    <w:p w14:paraId="1553D2DA" w14:textId="11BDDB2F" w:rsidR="00F512BC" w:rsidRPr="00FB397F" w:rsidRDefault="00F512BC" w:rsidP="004E02BE">
      <w:pPr>
        <w:pStyle w:val="ListParagraph"/>
      </w:pPr>
      <w:r w:rsidRPr="00FB397F">
        <w:t>For treatment-related bone loss in patients with prostate cancer receiving androgen deprivation therapy (ADT)</w:t>
      </w:r>
    </w:p>
    <w:p w14:paraId="4C434745" w14:textId="71888341" w:rsidR="00ED052F" w:rsidRPr="004A00DF" w:rsidRDefault="0065721A" w:rsidP="00F36878">
      <w:pPr>
        <w:pStyle w:val="BodyText"/>
      </w:pPr>
      <w:r w:rsidRPr="004A00DF">
        <w:lastRenderedPageBreak/>
        <w:t xml:space="preserve">All other </w:t>
      </w:r>
      <w:r w:rsidRPr="00F36878">
        <w:t>indications</w:t>
      </w:r>
      <w:r w:rsidRPr="004A00DF">
        <w:t xml:space="preserve"> are considered experimental/investigational and not medically necessary</w:t>
      </w:r>
      <w:r w:rsidR="00ED052F" w:rsidRPr="004A00DF">
        <w:t>.</w:t>
      </w:r>
    </w:p>
    <w:p w14:paraId="36381B6D" w14:textId="56001E54" w:rsidR="000D2496" w:rsidRPr="004A00DF" w:rsidRDefault="000D2496" w:rsidP="00EE354A">
      <w:pPr>
        <w:pStyle w:val="Heading2"/>
        <w:tabs>
          <w:tab w:val="left" w:pos="9370"/>
        </w:tabs>
      </w:pPr>
      <w:r w:rsidRPr="004A00DF">
        <w:t>Documentation</w:t>
      </w:r>
    </w:p>
    <w:p w14:paraId="62C497EF" w14:textId="573FD652" w:rsidR="00F512BC" w:rsidRDefault="0065721A" w:rsidP="000D2496">
      <w:pPr>
        <w:pStyle w:val="BodyText"/>
      </w:pPr>
      <w:r w:rsidRPr="004A00DF">
        <w:t>Submission of the following information is necessary to initiate the prior authorization review:</w:t>
      </w:r>
    </w:p>
    <w:p w14:paraId="2180ED6E" w14:textId="0E17DE04" w:rsidR="000D2496" w:rsidRPr="00FB397F" w:rsidRDefault="00F512BC" w:rsidP="00F512BC">
      <w:pPr>
        <w:pStyle w:val="ListParagraph"/>
      </w:pPr>
      <w:r>
        <w:t>C</w:t>
      </w:r>
      <w:r w:rsidR="0065721A" w:rsidRPr="004A00DF">
        <w:t xml:space="preserve">hart notes or medical record </w:t>
      </w:r>
      <w:r>
        <w:t xml:space="preserve">documentation </w:t>
      </w:r>
      <w:r w:rsidR="0065721A" w:rsidRPr="004A00DF">
        <w:t xml:space="preserve">indicating a history of fractures, T-score, and </w:t>
      </w:r>
      <w:r w:rsidR="0065721A" w:rsidRPr="00FB397F">
        <w:t>F</w:t>
      </w:r>
      <w:r w:rsidR="00BF5C25" w:rsidRPr="00FB397F">
        <w:t xml:space="preserve">racture </w:t>
      </w:r>
      <w:r w:rsidR="0065721A" w:rsidRPr="00FB397F">
        <w:t>R</w:t>
      </w:r>
      <w:r w:rsidR="00BF5C25" w:rsidRPr="00FB397F">
        <w:t xml:space="preserve">isk </w:t>
      </w:r>
      <w:r w:rsidR="0065721A" w:rsidRPr="00FB397F">
        <w:t>A</w:t>
      </w:r>
      <w:r w:rsidR="00BF5C25" w:rsidRPr="00FB397F">
        <w:t>ssessment Tool (FRA</w:t>
      </w:r>
      <w:r w:rsidR="0065721A" w:rsidRPr="00FB397F">
        <w:t>X</w:t>
      </w:r>
      <w:r w:rsidR="00BF5C25" w:rsidRPr="00FB397F">
        <w:t>)</w:t>
      </w:r>
      <w:r w:rsidR="0065721A" w:rsidRPr="00FB397F">
        <w:t xml:space="preserve"> fracture probability </w:t>
      </w:r>
      <w:r w:rsidRPr="00FB397F">
        <w:t xml:space="preserve">(where </w:t>
      </w:r>
      <w:r w:rsidR="0065721A" w:rsidRPr="00FB397F">
        <w:t>applicable</w:t>
      </w:r>
      <w:r w:rsidRPr="00FB397F">
        <w:t>)</w:t>
      </w:r>
    </w:p>
    <w:p w14:paraId="3E147FAD" w14:textId="73B9829D" w:rsidR="00F512BC" w:rsidRPr="00FB397F" w:rsidRDefault="00F512BC" w:rsidP="004E02BE">
      <w:pPr>
        <w:pStyle w:val="ListParagraph"/>
      </w:pPr>
      <w:r w:rsidRPr="00FB397F">
        <w:t xml:space="preserve">Chart notes, medical record documentation, or claims history </w:t>
      </w:r>
      <w:r w:rsidR="006B5032" w:rsidRPr="00FB397F">
        <w:t>supporting use of androgen deprivation therapy.</w:t>
      </w:r>
    </w:p>
    <w:p w14:paraId="50A38FBA" w14:textId="44AD05D0" w:rsidR="00FE0C63" w:rsidRPr="004A00DF" w:rsidRDefault="00685107" w:rsidP="00E050E1">
      <w:pPr>
        <w:pStyle w:val="Heading2"/>
      </w:pPr>
      <w:r w:rsidRPr="004A00DF">
        <w:t>Coverage Criteria</w:t>
      </w:r>
    </w:p>
    <w:p w14:paraId="3DBA1974" w14:textId="38B42A5A" w:rsidR="0065721A" w:rsidRPr="004A00DF" w:rsidRDefault="0065721A" w:rsidP="00B73153">
      <w:pPr>
        <w:pStyle w:val="Heading3"/>
      </w:pPr>
      <w:r w:rsidRPr="00B73153">
        <w:t>Postmenopausal</w:t>
      </w:r>
      <w:r w:rsidRPr="004A00DF">
        <w:t xml:space="preserve"> </w:t>
      </w:r>
      <w:r w:rsidR="00B73153" w:rsidRPr="004A00DF">
        <w:t xml:space="preserve">Osteoporosis, Treatment </w:t>
      </w:r>
      <w:r w:rsidR="00B73153">
        <w:t>a</w:t>
      </w:r>
      <w:r w:rsidR="00B73153" w:rsidRPr="004A00DF">
        <w:t>nd Prevention</w:t>
      </w:r>
      <w:r w:rsidR="00B73153" w:rsidRPr="004A00DF">
        <w:rPr>
          <w:vertAlign w:val="superscript"/>
        </w:rPr>
        <w:t>1</w:t>
      </w:r>
      <w:r w:rsidRPr="004A00DF">
        <w:rPr>
          <w:vertAlign w:val="superscript"/>
        </w:rPr>
        <w:t>-4</w:t>
      </w:r>
    </w:p>
    <w:p w14:paraId="276F57A6" w14:textId="77777777" w:rsidR="0065721A" w:rsidRPr="004A00DF" w:rsidRDefault="0065721A" w:rsidP="00B73153">
      <w:pPr>
        <w:pStyle w:val="BodyText"/>
      </w:pPr>
      <w:r w:rsidRPr="004A00DF">
        <w:t>Authorization of 12 months may be granted to postmenopausal members for treatment or prevention of osteoporosis when ANY of the following criteria are met:</w:t>
      </w:r>
    </w:p>
    <w:p w14:paraId="75825358" w14:textId="78334AE9" w:rsidR="0065721A" w:rsidRPr="00B73153" w:rsidRDefault="0065721A" w:rsidP="00B73153">
      <w:pPr>
        <w:pStyle w:val="ListParagraph"/>
        <w:numPr>
          <w:ilvl w:val="0"/>
          <w:numId w:val="29"/>
        </w:numPr>
      </w:pPr>
      <w:r w:rsidRPr="00B73153">
        <w:t xml:space="preserve">Member has a history of fragility </w:t>
      </w:r>
      <w:r w:rsidRPr="004E02BE">
        <w:rPr>
          <w:color w:val="auto"/>
        </w:rPr>
        <w:t>fractures</w:t>
      </w:r>
      <w:r w:rsidR="00F512BC" w:rsidRPr="004E02BE">
        <w:rPr>
          <w:color w:val="auto"/>
        </w:rPr>
        <w:t xml:space="preserve"> (e.g., low trauma fracture from force similar to a fall from standing position)</w:t>
      </w:r>
    </w:p>
    <w:p w14:paraId="23C44138" w14:textId="3CC4C58B" w:rsidR="0065721A" w:rsidRPr="00B73153" w:rsidRDefault="0065721A" w:rsidP="00B73153">
      <w:pPr>
        <w:pStyle w:val="ListParagraph"/>
        <w:numPr>
          <w:ilvl w:val="0"/>
          <w:numId w:val="29"/>
        </w:numPr>
      </w:pPr>
      <w:r w:rsidRPr="00B73153">
        <w:t>Member has a pre-treatment T-score less than or equal to -2.5</w:t>
      </w:r>
    </w:p>
    <w:p w14:paraId="0E9B0833" w14:textId="63DB3C30" w:rsidR="0065721A" w:rsidRPr="00B73153" w:rsidRDefault="0065721A" w:rsidP="00B73153">
      <w:pPr>
        <w:pStyle w:val="ListParagraph"/>
        <w:numPr>
          <w:ilvl w:val="0"/>
          <w:numId w:val="29"/>
        </w:numPr>
      </w:pPr>
      <w:r w:rsidRPr="00B73153">
        <w:t>Member has osteopenia (i.e., pre-treatment T-score greater than -2.5 and less than -1)</w:t>
      </w:r>
    </w:p>
    <w:p w14:paraId="6C9657D4" w14:textId="78F34343" w:rsidR="0065721A" w:rsidRPr="004A00DF" w:rsidRDefault="0065721A" w:rsidP="00B73153">
      <w:pPr>
        <w:pStyle w:val="Heading3"/>
      </w:pPr>
      <w:r w:rsidRPr="00B73153">
        <w:t>Osteoporosis</w:t>
      </w:r>
      <w:r w:rsidRPr="004A00DF">
        <w:t xml:space="preserve"> </w:t>
      </w:r>
      <w:r w:rsidR="00B73153">
        <w:t>i</w:t>
      </w:r>
      <w:r w:rsidR="00B73153" w:rsidRPr="004A00DF">
        <w:t>n Men</w:t>
      </w:r>
      <w:r w:rsidR="00B73153" w:rsidRPr="004A00DF">
        <w:rPr>
          <w:vertAlign w:val="superscript"/>
        </w:rPr>
        <w:t>1</w:t>
      </w:r>
      <w:r w:rsidRPr="004A00DF">
        <w:rPr>
          <w:vertAlign w:val="superscript"/>
        </w:rPr>
        <w:t>-3,5</w:t>
      </w:r>
    </w:p>
    <w:p w14:paraId="5EB44EE8" w14:textId="77777777" w:rsidR="0065721A" w:rsidRPr="004A00DF" w:rsidRDefault="0065721A" w:rsidP="00B73153">
      <w:pPr>
        <w:pStyle w:val="BodyText"/>
      </w:pPr>
      <w:r w:rsidRPr="004A00DF">
        <w:t>Authorization of 12 months may be granted to male members with osteoporosis when ANY of the following criteria are met:</w:t>
      </w:r>
    </w:p>
    <w:p w14:paraId="464413E4" w14:textId="6CA0DD58" w:rsidR="0065721A" w:rsidRPr="00B73153" w:rsidRDefault="0065721A" w:rsidP="00B73153">
      <w:pPr>
        <w:pStyle w:val="ListParagraph"/>
        <w:numPr>
          <w:ilvl w:val="0"/>
          <w:numId w:val="30"/>
        </w:numPr>
      </w:pPr>
      <w:r w:rsidRPr="00B73153">
        <w:t>Member has a history of an osteoporotic vertebral or hip fracture</w:t>
      </w:r>
    </w:p>
    <w:p w14:paraId="3CBBE41A" w14:textId="77777777" w:rsidR="0065721A" w:rsidRPr="00B73153" w:rsidRDefault="0065721A" w:rsidP="00B73153">
      <w:pPr>
        <w:pStyle w:val="ListParagraph"/>
        <w:numPr>
          <w:ilvl w:val="0"/>
          <w:numId w:val="30"/>
        </w:numPr>
      </w:pPr>
      <w:r w:rsidRPr="00B73153">
        <w:t>Member has a pre-treatment T-score less than or equal to -2.5</w:t>
      </w:r>
    </w:p>
    <w:p w14:paraId="6C2B0E2D" w14:textId="725865FD" w:rsidR="0065721A" w:rsidRPr="00B73153" w:rsidRDefault="0065721A" w:rsidP="00B73153">
      <w:pPr>
        <w:pStyle w:val="ListParagraph"/>
        <w:numPr>
          <w:ilvl w:val="0"/>
          <w:numId w:val="30"/>
        </w:numPr>
      </w:pPr>
      <w:r w:rsidRPr="00B73153">
        <w:t>Member has osteopenia (i.e., pre-treatment T-score greater than -2.5 and less than -1) with a high pre-treatment FRAX fracture probability (see Appendix)</w:t>
      </w:r>
    </w:p>
    <w:p w14:paraId="4ACBC976" w14:textId="1BDB38E6" w:rsidR="0065721A" w:rsidRPr="004A00DF" w:rsidRDefault="0065721A" w:rsidP="00B73153">
      <w:pPr>
        <w:pStyle w:val="Heading3"/>
      </w:pPr>
      <w:r w:rsidRPr="00B73153">
        <w:t>Glucocorticoid</w:t>
      </w:r>
      <w:r w:rsidR="00B73153" w:rsidRPr="004A00DF">
        <w:t>-Induced Osteoporosis</w:t>
      </w:r>
      <w:r w:rsidR="00B73153" w:rsidRPr="004A00DF">
        <w:rPr>
          <w:vertAlign w:val="superscript"/>
        </w:rPr>
        <w:t>1</w:t>
      </w:r>
      <w:r w:rsidRPr="004A00DF">
        <w:rPr>
          <w:vertAlign w:val="superscript"/>
        </w:rPr>
        <w:t>,2,6</w:t>
      </w:r>
    </w:p>
    <w:p w14:paraId="06FC8A1D" w14:textId="444D7FD7" w:rsidR="0065721A" w:rsidRPr="004A00DF" w:rsidRDefault="0065721A" w:rsidP="00B73153">
      <w:pPr>
        <w:pStyle w:val="BodyText"/>
      </w:pPr>
      <w:r w:rsidRPr="004A00DF">
        <w:t>Authorization of 12 months may be granted for members with glucocorticoid-induced osteoporosis when BOTH of the following criteria are met:</w:t>
      </w:r>
    </w:p>
    <w:p w14:paraId="214B30A3" w14:textId="77777777" w:rsidR="0065721A" w:rsidRPr="00B73153" w:rsidRDefault="0065721A" w:rsidP="00B73153">
      <w:pPr>
        <w:pStyle w:val="ListParagraph"/>
        <w:numPr>
          <w:ilvl w:val="0"/>
          <w:numId w:val="31"/>
        </w:numPr>
      </w:pPr>
      <w:r w:rsidRPr="00B73153">
        <w:t>Member is currently receiving or will be initiating glucocorticoid therapy at an equivalent prednisone dose of greater than or equal to 2.5 mg/day for at least 3 months</w:t>
      </w:r>
    </w:p>
    <w:p w14:paraId="5C95963C" w14:textId="77777777" w:rsidR="0065721A" w:rsidRPr="00B73153" w:rsidRDefault="0065721A" w:rsidP="00B73153">
      <w:pPr>
        <w:pStyle w:val="ListParagraph"/>
        <w:numPr>
          <w:ilvl w:val="0"/>
          <w:numId w:val="31"/>
        </w:numPr>
      </w:pPr>
      <w:r w:rsidRPr="00B73153">
        <w:t>Member meets ANY of the following criteria:</w:t>
      </w:r>
    </w:p>
    <w:p w14:paraId="71B15E66" w14:textId="2CDFCB75" w:rsidR="0065721A" w:rsidRPr="00B73153" w:rsidRDefault="0065721A" w:rsidP="00B73153">
      <w:pPr>
        <w:pStyle w:val="ListParagraph"/>
        <w:numPr>
          <w:ilvl w:val="1"/>
          <w:numId w:val="31"/>
        </w:numPr>
      </w:pPr>
      <w:r w:rsidRPr="00B73153">
        <w:t>Member has a history of a fragility fractu</w:t>
      </w:r>
      <w:r w:rsidRPr="000206AF">
        <w:t>re</w:t>
      </w:r>
      <w:r w:rsidR="00492F95" w:rsidRPr="000206AF">
        <w:t xml:space="preserve"> (e.g., low trauma fracture from force similar to a fall from standing position)</w:t>
      </w:r>
    </w:p>
    <w:p w14:paraId="3C7F70C2" w14:textId="77777777" w:rsidR="0065721A" w:rsidRPr="00B73153" w:rsidRDefault="0065721A" w:rsidP="00B73153">
      <w:pPr>
        <w:pStyle w:val="ListParagraph"/>
        <w:numPr>
          <w:ilvl w:val="1"/>
          <w:numId w:val="31"/>
        </w:numPr>
      </w:pPr>
      <w:r w:rsidRPr="00B73153">
        <w:t>Member has a pre-treatment T-score of less than or equal to -2.5</w:t>
      </w:r>
    </w:p>
    <w:p w14:paraId="54C7C761" w14:textId="6E8F3641" w:rsidR="0065721A" w:rsidRPr="00B73153" w:rsidRDefault="0065721A" w:rsidP="00B73153">
      <w:pPr>
        <w:pStyle w:val="ListParagraph"/>
        <w:numPr>
          <w:ilvl w:val="1"/>
          <w:numId w:val="31"/>
        </w:numPr>
      </w:pPr>
      <w:r w:rsidRPr="00B73153">
        <w:lastRenderedPageBreak/>
        <w:t>Member has osteopenia (i.e., pre-treatment T-score greater than -2.5 and less than -1) with a high pre-treatment FRAX fracture probability (see Appendix)</w:t>
      </w:r>
    </w:p>
    <w:p w14:paraId="0F38A5D7" w14:textId="594446AC" w:rsidR="0065721A" w:rsidRPr="004A00DF" w:rsidRDefault="0065721A" w:rsidP="00B73153">
      <w:pPr>
        <w:pStyle w:val="Heading3"/>
      </w:pPr>
      <w:r w:rsidRPr="004A00DF">
        <w:t xml:space="preserve">Paget’s </w:t>
      </w:r>
      <w:r w:rsidR="00B73153" w:rsidRPr="00B73153">
        <w:t>Disease</w:t>
      </w:r>
      <w:r w:rsidR="00B73153" w:rsidRPr="004A00DF">
        <w:t xml:space="preserve"> </w:t>
      </w:r>
      <w:r w:rsidR="00B73153">
        <w:t>o</w:t>
      </w:r>
      <w:r w:rsidR="00B73153" w:rsidRPr="004A00DF">
        <w:t>f Bone</w:t>
      </w:r>
      <w:r w:rsidR="00B73153" w:rsidRPr="004A00DF">
        <w:rPr>
          <w:vertAlign w:val="superscript"/>
        </w:rPr>
        <w:t>1</w:t>
      </w:r>
      <w:r w:rsidRPr="004A00DF">
        <w:rPr>
          <w:vertAlign w:val="superscript"/>
        </w:rPr>
        <w:t>,2,7</w:t>
      </w:r>
    </w:p>
    <w:p w14:paraId="554B6E8F" w14:textId="0B3EE2CE" w:rsidR="00B836B0" w:rsidRDefault="0065721A" w:rsidP="00B73153">
      <w:pPr>
        <w:pStyle w:val="BodyText"/>
      </w:pPr>
      <w:r w:rsidRPr="004A00DF">
        <w:t>Authorization of 1 month (one dose [5 mg]) may be granted for treatment of Paget’s disease of bone.</w:t>
      </w:r>
    </w:p>
    <w:p w14:paraId="0F1E2E0E" w14:textId="5D38D730" w:rsidR="00492F95" w:rsidRPr="00FB397F" w:rsidRDefault="00492F95" w:rsidP="00492F95">
      <w:pPr>
        <w:pStyle w:val="Heading3"/>
      </w:pPr>
      <w:r w:rsidRPr="00FB397F">
        <w:t>Prostate Cancer</w:t>
      </w:r>
      <w:r w:rsidR="00251AC2" w:rsidRPr="00FB397F">
        <w:rPr>
          <w:vertAlign w:val="superscript"/>
        </w:rPr>
        <w:t>9</w:t>
      </w:r>
    </w:p>
    <w:p w14:paraId="7A4D0441" w14:textId="359FE0DF" w:rsidR="00492F95" w:rsidRPr="00492F95" w:rsidRDefault="00492F95" w:rsidP="00492F95">
      <w:pPr>
        <w:pStyle w:val="BodyText"/>
      </w:pPr>
      <w:r w:rsidRPr="00FB397F">
        <w:t xml:space="preserve">Authorization of 12 months may be granted for members with prostate cancer for treatment-related bone loss when receiving androgen deprivation therapy (ADT) (e.g., </w:t>
      </w:r>
      <w:proofErr w:type="spellStart"/>
      <w:r w:rsidRPr="00FB397F">
        <w:t>gosarelin</w:t>
      </w:r>
      <w:proofErr w:type="spellEnd"/>
      <w:r w:rsidRPr="00FB397F">
        <w:t>, leuprolide, triptorelin)</w:t>
      </w:r>
      <w:r w:rsidR="000F45C8" w:rsidRPr="00FB397F">
        <w:t>.</w:t>
      </w:r>
    </w:p>
    <w:p w14:paraId="3A643EC3" w14:textId="6C2E285B" w:rsidR="00A501AC" w:rsidRPr="004A00DF" w:rsidRDefault="00A501AC" w:rsidP="00A501AC">
      <w:pPr>
        <w:pStyle w:val="Heading2"/>
      </w:pPr>
      <w:r w:rsidRPr="004A00DF">
        <w:t>Continuation of Therapy</w:t>
      </w:r>
    </w:p>
    <w:p w14:paraId="0FC470D7" w14:textId="47083C8A" w:rsidR="009B2494" w:rsidRPr="004A00DF" w:rsidRDefault="009B2494" w:rsidP="00B73153">
      <w:pPr>
        <w:pStyle w:val="Heading3"/>
      </w:pPr>
      <w:r w:rsidRPr="004A00DF">
        <w:t xml:space="preserve">Paget’s </w:t>
      </w:r>
      <w:r w:rsidR="00B73153" w:rsidRPr="00B73153">
        <w:t>Disease</w:t>
      </w:r>
      <w:r w:rsidR="00B73153" w:rsidRPr="004A00DF">
        <w:t xml:space="preserve"> </w:t>
      </w:r>
      <w:r w:rsidR="00B73153">
        <w:t>o</w:t>
      </w:r>
      <w:r w:rsidR="00B73153" w:rsidRPr="004A00DF">
        <w:t>f Bone</w:t>
      </w:r>
    </w:p>
    <w:p w14:paraId="1FD1D751" w14:textId="41CF0F50" w:rsidR="009B2494" w:rsidRPr="004A00DF" w:rsidRDefault="009B2494" w:rsidP="00B73153">
      <w:pPr>
        <w:pStyle w:val="BodyText"/>
      </w:pPr>
      <w:r w:rsidRPr="004A00DF">
        <w:t>All members (</w:t>
      </w:r>
      <w:r w:rsidRPr="00B73153">
        <w:t>including</w:t>
      </w:r>
      <w:r w:rsidRPr="004A00DF">
        <w:t xml:space="preserve"> new members) requesting authorization for continuation of therapy must meet all requirements in the coverage criteria.</w:t>
      </w:r>
    </w:p>
    <w:p w14:paraId="503E0515" w14:textId="04EDECA8" w:rsidR="009B2494" w:rsidRPr="004A00DF" w:rsidRDefault="009B2494" w:rsidP="00B73153">
      <w:pPr>
        <w:pStyle w:val="Heading3"/>
      </w:pPr>
      <w:r w:rsidRPr="004A00DF">
        <w:t xml:space="preserve">All </w:t>
      </w:r>
      <w:r w:rsidR="00B73153">
        <w:t>O</w:t>
      </w:r>
      <w:r w:rsidR="00B73153" w:rsidRPr="004A00DF">
        <w:t>ther Indications</w:t>
      </w:r>
    </w:p>
    <w:p w14:paraId="7655DB7B" w14:textId="3F8B4B67" w:rsidR="009B2494" w:rsidRPr="004A00DF" w:rsidRDefault="009B2494" w:rsidP="00B73153">
      <w:pPr>
        <w:pStyle w:val="BodyText"/>
      </w:pPr>
      <w:r w:rsidRPr="004A00DF">
        <w:t>Authorization of 12 months may be granted for all members (including new members) who are currently receiving the requested medication through a previously authorized pharmacy or medical benefit, who meet either of the following</w:t>
      </w:r>
      <w:r w:rsidR="009105FF">
        <w:t xml:space="preserve"> criteria</w:t>
      </w:r>
      <w:r w:rsidRPr="004A00DF">
        <w:t>:</w:t>
      </w:r>
    </w:p>
    <w:p w14:paraId="56D1EA41" w14:textId="67A32517" w:rsidR="009B2494" w:rsidRPr="00B73153" w:rsidRDefault="009B2494" w:rsidP="00B73153">
      <w:pPr>
        <w:pStyle w:val="ListParagraph"/>
        <w:numPr>
          <w:ilvl w:val="0"/>
          <w:numId w:val="33"/>
        </w:numPr>
      </w:pPr>
      <w:r w:rsidRPr="00B73153">
        <w:t>Member has received less than 24 months of therapy and has not experienced clinically significant adverse events during therapy</w:t>
      </w:r>
    </w:p>
    <w:p w14:paraId="4E14A118" w14:textId="5DD87200" w:rsidR="009B2494" w:rsidRPr="00B73153" w:rsidRDefault="009B2494" w:rsidP="00B73153">
      <w:pPr>
        <w:pStyle w:val="ListParagraph"/>
        <w:numPr>
          <w:ilvl w:val="0"/>
          <w:numId w:val="33"/>
        </w:numPr>
      </w:pPr>
      <w:r w:rsidRPr="00B73153">
        <w:t>Member has received 24 months of therapy or more and meets both of the following</w:t>
      </w:r>
      <w:r w:rsidR="009105FF">
        <w:t xml:space="preserve"> criteria</w:t>
      </w:r>
      <w:r w:rsidRPr="00B73153">
        <w:t>:</w:t>
      </w:r>
    </w:p>
    <w:p w14:paraId="0874FBA0" w14:textId="376D7E6C" w:rsidR="009B2494" w:rsidRPr="00B73153" w:rsidRDefault="009B2494" w:rsidP="00B73153">
      <w:pPr>
        <w:pStyle w:val="ListParagraph"/>
        <w:numPr>
          <w:ilvl w:val="1"/>
          <w:numId w:val="34"/>
        </w:numPr>
      </w:pPr>
      <w:r w:rsidRPr="00B73153">
        <w:t>Member has experienced clinical benefit (i.e., improvement or stabilization in T-score since the previous bone mass measurement)</w:t>
      </w:r>
    </w:p>
    <w:p w14:paraId="32C8905D" w14:textId="575E4CDE" w:rsidR="00A501AC" w:rsidRDefault="009B2494" w:rsidP="00B73153">
      <w:pPr>
        <w:pStyle w:val="ListParagraph"/>
        <w:numPr>
          <w:ilvl w:val="1"/>
          <w:numId w:val="34"/>
        </w:numPr>
      </w:pPr>
      <w:r w:rsidRPr="00B73153">
        <w:t>Member has not experienced any adverse effects</w:t>
      </w:r>
    </w:p>
    <w:p w14:paraId="784D6ED7" w14:textId="64FD692A" w:rsidR="008B1332" w:rsidRPr="004A00DF" w:rsidRDefault="00B65538" w:rsidP="008B1332">
      <w:pPr>
        <w:pStyle w:val="Heading2"/>
      </w:pPr>
      <w:r w:rsidRPr="004A00DF">
        <w:t>Appendix</w:t>
      </w:r>
    </w:p>
    <w:p w14:paraId="4DA22072" w14:textId="3CFD6895" w:rsidR="008B1332" w:rsidRPr="004A00DF" w:rsidRDefault="009B2494" w:rsidP="00B73153">
      <w:pPr>
        <w:pStyle w:val="Heading3"/>
      </w:pPr>
      <w:r w:rsidRPr="00B73153">
        <w:t>Fracture</w:t>
      </w:r>
      <w:r w:rsidRPr="004A00DF">
        <w:t xml:space="preserve"> Risk Assessment Tool</w:t>
      </w:r>
      <w:r w:rsidR="009105FF">
        <w:t xml:space="preserve"> (FRAX)</w:t>
      </w:r>
      <w:r w:rsidRPr="004A00DF">
        <w:rPr>
          <w:vertAlign w:val="superscript"/>
        </w:rPr>
        <w:t>6,8</w:t>
      </w:r>
    </w:p>
    <w:p w14:paraId="78113C86" w14:textId="77777777" w:rsidR="009B2494" w:rsidRPr="00B73153" w:rsidRDefault="009B2494" w:rsidP="00B73153">
      <w:pPr>
        <w:pStyle w:val="ListParagraph"/>
        <w:numPr>
          <w:ilvl w:val="0"/>
          <w:numId w:val="36"/>
        </w:numPr>
      </w:pPr>
      <w:r w:rsidRPr="00B73153">
        <w:t xml:space="preserve">High FRAX fracture probability: 10-year major osteoporosis-related fracture risk </w:t>
      </w:r>
      <w:r w:rsidRPr="00B73153">
        <w:rPr>
          <w:rFonts w:ascii="Arial" w:hAnsi="Arial"/>
        </w:rPr>
        <w:t>≥</w:t>
      </w:r>
      <w:r w:rsidRPr="00B73153">
        <w:t xml:space="preserve"> 20% or hip fracture risk </w:t>
      </w:r>
      <w:r w:rsidRPr="00B73153">
        <w:rPr>
          <w:rFonts w:ascii="Arial" w:hAnsi="Arial"/>
        </w:rPr>
        <w:t>≥</w:t>
      </w:r>
      <w:r w:rsidRPr="00B73153">
        <w:t xml:space="preserve"> 3%</w:t>
      </w:r>
    </w:p>
    <w:p w14:paraId="484BE933" w14:textId="231AF2E5" w:rsidR="009B2494" w:rsidRPr="00B73153" w:rsidRDefault="009B2494" w:rsidP="00B73153">
      <w:pPr>
        <w:pStyle w:val="ListParagraph"/>
        <w:numPr>
          <w:ilvl w:val="0"/>
          <w:numId w:val="36"/>
        </w:numPr>
      </w:pPr>
      <w:r w:rsidRPr="00B73153">
        <w:t xml:space="preserve">10-year probability; calculation tool available at: </w:t>
      </w:r>
      <w:r w:rsidR="008750A8">
        <w:t>https://</w:t>
      </w:r>
      <w:r w:rsidR="003E5C78">
        <w:t>frax.</w:t>
      </w:r>
      <w:r w:rsidR="008750A8">
        <w:t>shef.ac.uk/FRAX</w:t>
      </w:r>
      <w:r w:rsidR="003E5C78">
        <w:t>/</w:t>
      </w:r>
    </w:p>
    <w:p w14:paraId="6809B969" w14:textId="233E2192" w:rsidR="008B1332" w:rsidRPr="00B73153" w:rsidRDefault="009B2494" w:rsidP="00B73153">
      <w:pPr>
        <w:pStyle w:val="ListParagraph"/>
        <w:numPr>
          <w:ilvl w:val="0"/>
          <w:numId w:val="36"/>
        </w:numPr>
      </w:pPr>
      <w:r w:rsidRPr="00B73153">
        <w:t xml:space="preserve">The estimated risk score generated with FRAX should be multiplied by 1.15 for major osteoporotic fracture (including fractures of the spine [clinical], hip, wrist, or humerus) and 1.2 </w:t>
      </w:r>
      <w:r w:rsidRPr="00B73153">
        <w:lastRenderedPageBreak/>
        <w:t>for hip fracture if glucocorticoid treatment is greater than 7.5 mg (prednisone equivalent) per day.</w:t>
      </w:r>
    </w:p>
    <w:p w14:paraId="10DA4309" w14:textId="5BE508D1" w:rsidR="00FF66BF" w:rsidRPr="004A00DF" w:rsidRDefault="00FF66BF" w:rsidP="00FF66BF">
      <w:pPr>
        <w:pStyle w:val="Heading2"/>
      </w:pPr>
      <w:r w:rsidRPr="004A00DF">
        <w:t>References</w:t>
      </w:r>
    </w:p>
    <w:p w14:paraId="0812C76E" w14:textId="7C901AA8" w:rsidR="009B2494" w:rsidRPr="00B73153" w:rsidRDefault="009B2494" w:rsidP="00B73153">
      <w:pPr>
        <w:pStyle w:val="ReferenceOrdered"/>
      </w:pPr>
      <w:proofErr w:type="spellStart"/>
      <w:r w:rsidRPr="00B73153">
        <w:t>Reclast</w:t>
      </w:r>
      <w:proofErr w:type="spellEnd"/>
      <w:r w:rsidRPr="00B73153">
        <w:t xml:space="preserve"> [package insert]. East Hanover, NJ: Novartis Pharmaceuticals Corporation; April 2020.</w:t>
      </w:r>
    </w:p>
    <w:p w14:paraId="53798141" w14:textId="3F5B8BFA" w:rsidR="009B2494" w:rsidRPr="0018393A" w:rsidRDefault="009B2494" w:rsidP="00B73153">
      <w:pPr>
        <w:pStyle w:val="ReferenceOrdered"/>
        <w:rPr>
          <w:lang w:val="it-IT"/>
        </w:rPr>
      </w:pPr>
      <w:r w:rsidRPr="00B73153">
        <w:t xml:space="preserve">Zoledronic acid injection [package insert]. </w:t>
      </w:r>
      <w:r w:rsidRPr="0018393A">
        <w:rPr>
          <w:lang w:val="it-IT"/>
        </w:rPr>
        <w:t xml:space="preserve">Princeton, NJ: Fosun Pharma USA Inc.; </w:t>
      </w:r>
      <w:r w:rsidR="000F45C8">
        <w:rPr>
          <w:lang w:val="it-IT"/>
        </w:rPr>
        <w:t>February</w:t>
      </w:r>
      <w:r w:rsidRPr="0018393A">
        <w:rPr>
          <w:lang w:val="it-IT"/>
        </w:rPr>
        <w:t xml:space="preserve"> 2023.</w:t>
      </w:r>
    </w:p>
    <w:p w14:paraId="22ADE87B" w14:textId="77777777" w:rsidR="009B2494" w:rsidRPr="00B73153" w:rsidRDefault="009B2494" w:rsidP="00B73153">
      <w:pPr>
        <w:pStyle w:val="ReferenceOrdered"/>
      </w:pPr>
      <w:proofErr w:type="spellStart"/>
      <w:r w:rsidRPr="00473208">
        <w:rPr>
          <w:lang w:val="en-IN"/>
        </w:rPr>
        <w:t>LeBoff</w:t>
      </w:r>
      <w:proofErr w:type="spellEnd"/>
      <w:r w:rsidRPr="00473208">
        <w:rPr>
          <w:lang w:val="en-IN"/>
        </w:rPr>
        <w:t xml:space="preserve"> MS, Greenspan SL, Insogna KL, et al. </w:t>
      </w:r>
      <w:r w:rsidRPr="00B73153">
        <w:t xml:space="preserve">The clinician’s guide to prevention and treatment of osteoporosis. </w:t>
      </w:r>
      <w:proofErr w:type="spellStart"/>
      <w:r w:rsidRPr="00B73153">
        <w:t>Osteoporos</w:t>
      </w:r>
      <w:proofErr w:type="spellEnd"/>
      <w:r w:rsidRPr="00B73153">
        <w:t xml:space="preserve"> Int. 2022;33(10):2049-2102.</w:t>
      </w:r>
    </w:p>
    <w:p w14:paraId="4C3202DC" w14:textId="77777777" w:rsidR="009B2494" w:rsidRPr="00B73153" w:rsidRDefault="009B2494" w:rsidP="00B73153">
      <w:pPr>
        <w:pStyle w:val="ReferenceOrdered"/>
      </w:pPr>
      <w:r w:rsidRPr="00B73153">
        <w:t xml:space="preserve">Camacho PM, Petak SM, Binkley N, et al. American Association of Clinical Endocrinologists and American College of Endocrinology clinical practice guidelines for the diagnosis and treatment of postmenopausal osteoporosis – 2020 update. </w:t>
      </w:r>
      <w:proofErr w:type="spellStart"/>
      <w:r w:rsidRPr="00B73153">
        <w:t>Endocr</w:t>
      </w:r>
      <w:proofErr w:type="spellEnd"/>
      <w:r w:rsidRPr="00B73153">
        <w:t xml:space="preserve"> </w:t>
      </w:r>
      <w:proofErr w:type="spellStart"/>
      <w:r w:rsidRPr="00B73153">
        <w:t>Pract</w:t>
      </w:r>
      <w:proofErr w:type="spellEnd"/>
      <w:r w:rsidRPr="00B73153">
        <w:t>. 2020;26(Suppl 1):1-46.</w:t>
      </w:r>
    </w:p>
    <w:p w14:paraId="35A4A23E" w14:textId="77777777" w:rsidR="009B2494" w:rsidRPr="00B73153" w:rsidRDefault="009B2494" w:rsidP="00B73153">
      <w:pPr>
        <w:pStyle w:val="ReferenceOrdered"/>
      </w:pPr>
      <w:r w:rsidRPr="00473208">
        <w:rPr>
          <w:lang w:val="sv-SE"/>
        </w:rPr>
        <w:t xml:space="preserve">Watts NB, Adler RA, Bilezikian JP, et al. </w:t>
      </w:r>
      <w:r w:rsidRPr="00B73153">
        <w:t xml:space="preserve">Osteoporosis in men: an Endocrine Society clinical practice guideline. J Clin </w:t>
      </w:r>
      <w:proofErr w:type="spellStart"/>
      <w:r w:rsidRPr="00B73153">
        <w:t>Endocr</w:t>
      </w:r>
      <w:proofErr w:type="spellEnd"/>
      <w:r w:rsidRPr="00B73153">
        <w:t xml:space="preserve"> </w:t>
      </w:r>
      <w:proofErr w:type="spellStart"/>
      <w:r w:rsidRPr="00B73153">
        <w:t>Metab</w:t>
      </w:r>
      <w:proofErr w:type="spellEnd"/>
      <w:r w:rsidRPr="00B73153">
        <w:t>. 2012;97(6):1802-1822.</w:t>
      </w:r>
    </w:p>
    <w:p w14:paraId="07F0E2B8" w14:textId="42C28771" w:rsidR="009B2494" w:rsidRPr="00B73153" w:rsidRDefault="000F45C8" w:rsidP="00B73153">
      <w:pPr>
        <w:pStyle w:val="ReferenceOrdered"/>
      </w:pPr>
      <w:r>
        <w:t>Humphrey MB, Russell L, Danila MI, et al</w:t>
      </w:r>
      <w:r w:rsidR="009B2494" w:rsidRPr="00B73153">
        <w:t>.</w:t>
      </w:r>
      <w:r>
        <w:t xml:space="preserve"> 2022 </w:t>
      </w:r>
      <w:r w:rsidRPr="005D5E49">
        <w:t xml:space="preserve">American College of Rheumatology Guideline for the Prevention and Treatment of Glucocorticoid-Induced Osteoporosis. Arthritis </w:t>
      </w:r>
      <w:proofErr w:type="spellStart"/>
      <w:r w:rsidRPr="005D5E49">
        <w:t>Rheumatol</w:t>
      </w:r>
      <w:proofErr w:type="spellEnd"/>
      <w:r w:rsidRPr="005D5E49">
        <w:t>. 2023;75(12):2088-2102</w:t>
      </w:r>
      <w:r>
        <w:t>.</w:t>
      </w:r>
    </w:p>
    <w:p w14:paraId="3F36572E" w14:textId="3BD2DD55" w:rsidR="009B2494" w:rsidRPr="00B73153" w:rsidRDefault="009B2494" w:rsidP="00B73153">
      <w:pPr>
        <w:pStyle w:val="ReferenceOrdered"/>
      </w:pPr>
      <w:r w:rsidRPr="0018393A">
        <w:rPr>
          <w:lang w:val="sv-SE"/>
        </w:rPr>
        <w:t xml:space="preserve">Singer FR, Bone HG, Hosking DJ, et al. </w:t>
      </w:r>
      <w:r w:rsidRPr="00B73153">
        <w:t>Paget’s disease of bone: an Endocrine Society clinical practice guideline. J Clin Endocrinol Metab. 2014;99(12):4408-22.</w:t>
      </w:r>
    </w:p>
    <w:p w14:paraId="7A138C0F" w14:textId="34678158" w:rsidR="009B2494" w:rsidRDefault="009B2494" w:rsidP="00933999">
      <w:pPr>
        <w:pStyle w:val="ReferenceOrdered"/>
      </w:pPr>
      <w:r w:rsidRPr="00B73153">
        <w:t>FRAX® Fracture Risk Assessment Tool. © Centre for Metabolic Bone Diseases, University of Sheffield, UK. Available at: https://</w:t>
      </w:r>
      <w:r w:rsidR="003E5C78">
        <w:t>frax</w:t>
      </w:r>
      <w:r w:rsidRPr="00B73153">
        <w:t>.shef.ac.uk/FRAX</w:t>
      </w:r>
      <w:r w:rsidR="003E5C78">
        <w:t>/</w:t>
      </w:r>
      <w:r w:rsidRPr="00B73153">
        <w:t xml:space="preserve">. Accessed October </w:t>
      </w:r>
      <w:r w:rsidR="000F45C8">
        <w:t>8</w:t>
      </w:r>
      <w:r w:rsidRPr="00B73153">
        <w:t>, 202</w:t>
      </w:r>
      <w:r w:rsidR="000F45C8">
        <w:t>4</w:t>
      </w:r>
      <w:r w:rsidRPr="00B73153">
        <w:t>.</w:t>
      </w:r>
    </w:p>
    <w:p w14:paraId="31354945" w14:textId="2E274C3A" w:rsidR="000F45C8" w:rsidRPr="00B73153" w:rsidRDefault="000F45C8" w:rsidP="00B73153">
      <w:pPr>
        <w:pStyle w:val="ReferenceOrdered"/>
      </w:pPr>
      <w:r>
        <w:t>The NCCN Drugs &amp; Biologics Compendium</w:t>
      </w:r>
      <w:r w:rsidRPr="00CD352A">
        <w:t>® ©</w:t>
      </w:r>
      <w:r>
        <w:t xml:space="preserve"> 2024 National Comprehensive Cancer Network, Inc. Available at: </w:t>
      </w:r>
      <w:r w:rsidRPr="00CD352A">
        <w:t>http://www.nccn.org</w:t>
      </w:r>
      <w:r>
        <w:t>. Accessed October 8, 2024.</w:t>
      </w:r>
    </w:p>
    <w:sectPr w:rsidR="000F45C8" w:rsidRPr="00B73153" w:rsidSect="00620FA8">
      <w:footerReference w:type="first" r:id="rId15"/>
      <w:type w:val="continuous"/>
      <w:pgSz w:w="12240" w:h="15840" w:code="1"/>
      <w:pgMar w:top="900" w:right="720" w:bottom="709" w:left="720" w:header="720" w:footer="283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01EAF" w14:textId="77777777" w:rsidR="00F2144A" w:rsidRDefault="00F2144A">
      <w:r>
        <w:separator/>
      </w:r>
    </w:p>
  </w:endnote>
  <w:endnote w:type="continuationSeparator" w:id="0">
    <w:p w14:paraId="7C4AFE96" w14:textId="77777777" w:rsidR="00F2144A" w:rsidRDefault="00F2144A">
      <w:r>
        <w:continuationSeparator/>
      </w:r>
    </w:p>
  </w:endnote>
  <w:endnote w:type="continuationNotice" w:id="1">
    <w:p w14:paraId="339686EE" w14:textId="77777777" w:rsidR="00F2144A" w:rsidRDefault="00F2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B41EE" w14:textId="722E5871" w:rsidR="008939E3" w:rsidRPr="00EC47B6" w:rsidRDefault="008939E3" w:rsidP="008939E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20FA8" w:rsidRPr="00620FA8">
      <w:rPr>
        <w:rFonts w:cs="Arial"/>
        <w:noProof/>
        <w:sz w:val="16"/>
        <w:szCs w:val="16"/>
      </w:rPr>
      <w:t>zoledronic</w:t>
    </w:r>
    <w:r w:rsidR="00620FA8">
      <w:rPr>
        <w:rFonts w:cs="Arial"/>
        <w:noProof/>
        <w:snapToGrid w:val="0"/>
        <w:color w:val="000000"/>
        <w:sz w:val="16"/>
        <w:szCs w:val="16"/>
      </w:rPr>
      <w:t xml:space="preserve"> acid-Reclast SGM 2380-A</w:t>
    </w:r>
    <w:r w:rsidR="00620FA8" w:rsidRPr="00620FA8">
      <w:rPr>
        <w:rFonts w:cs="Arial"/>
        <w:noProof/>
        <w:sz w:val="16"/>
        <w:szCs w:val="16"/>
      </w:rPr>
      <w:t xml:space="preserve"> </w:t>
    </w:r>
    <w:r w:rsidR="00620FA8">
      <w:rPr>
        <w:rFonts w:cs="Arial"/>
        <w:noProof/>
        <w:snapToGrid w:val="0"/>
        <w:color w:val="000000"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F7D0CEA" w14:textId="77142671" w:rsidR="008939E3" w:rsidRPr="00EC47B6" w:rsidRDefault="008939E3" w:rsidP="008939E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1FCC3CD" w:rsidR="00F75C81" w:rsidRPr="00AA1E6A" w:rsidRDefault="008939E3" w:rsidP="004E02B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3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7A40F4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20FA8" w:rsidRPr="00620FA8">
      <w:rPr>
        <w:rFonts w:cs="Arial"/>
        <w:noProof/>
        <w:sz w:val="16"/>
        <w:szCs w:val="16"/>
      </w:rPr>
      <w:t>zoledronic</w:t>
    </w:r>
    <w:r w:rsidR="00620FA8">
      <w:rPr>
        <w:rFonts w:cs="Arial"/>
        <w:noProof/>
        <w:snapToGrid w:val="0"/>
        <w:color w:val="000000"/>
        <w:sz w:val="16"/>
        <w:szCs w:val="16"/>
      </w:rPr>
      <w:t xml:space="preserve"> acid-Reclast SGM 2380-A</w:t>
    </w:r>
    <w:r w:rsidR="00620FA8" w:rsidRPr="00620FA8">
      <w:rPr>
        <w:rFonts w:cs="Arial"/>
        <w:noProof/>
        <w:sz w:val="16"/>
        <w:szCs w:val="16"/>
      </w:rPr>
      <w:t xml:space="preserve"> </w:t>
    </w:r>
    <w:r w:rsidR="00620FA8">
      <w:rPr>
        <w:rFonts w:cs="Arial"/>
        <w:noProof/>
        <w:snapToGrid w:val="0"/>
        <w:color w:val="000000"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C7CEB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932B1EE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514D9C6" w:rsidR="00ED04EC" w:rsidRPr="00F50D98" w:rsidRDefault="00F50D98" w:rsidP="004E02B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A127" w14:textId="77777777" w:rsidR="008939E3" w:rsidRPr="00EC47B6" w:rsidRDefault="008939E3" w:rsidP="008939E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4A00DF">
      <w:rPr>
        <w:rFonts w:cs="Arial"/>
        <w:noProof/>
        <w:sz w:val="16"/>
        <w:szCs w:val="16"/>
      </w:rPr>
      <w:t>zoledronic</w:t>
    </w:r>
    <w:r>
      <w:rPr>
        <w:rFonts w:cs="Arial"/>
        <w:noProof/>
        <w:snapToGrid w:val="0"/>
        <w:color w:val="000000"/>
        <w:sz w:val="16"/>
        <w:szCs w:val="16"/>
      </w:rPr>
      <w:t xml:space="preserve"> acid-Reclast SGM 2380-A</w:t>
    </w:r>
    <w:r w:rsidRPr="004A00DF">
      <w:rPr>
        <w:rFonts w:cs="Arial"/>
        <w:noProof/>
        <w:sz w:val="16"/>
        <w:szCs w:val="16"/>
      </w:rPr>
      <w:t xml:space="preserve"> </w:t>
    </w:r>
    <w:r>
      <w:rPr>
        <w:rFonts w:cs="Arial"/>
        <w:noProof/>
        <w:snapToGrid w:val="0"/>
        <w:color w:val="000000"/>
        <w:sz w:val="16"/>
        <w:szCs w:val="16"/>
      </w:rPr>
      <w:t>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566178F" w14:textId="77777777" w:rsidR="008939E3" w:rsidRPr="00EC47B6" w:rsidRDefault="008939E3" w:rsidP="008939E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38A279E1" w14:textId="77777777" w:rsidR="008939E3" w:rsidRPr="00AA1E6A" w:rsidRDefault="008939E3" w:rsidP="008939E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3</w:t>
    </w:r>
    <w:r w:rsidRPr="00EC47B6">
      <w:rPr>
        <w:rFonts w:cs="Arial"/>
        <w:sz w:val="16"/>
        <w:szCs w:val="16"/>
      </w:rPr>
      <w:fldChar w:fldCharType="end"/>
    </w:r>
  </w:p>
  <w:p w14:paraId="480FA61C" w14:textId="77777777" w:rsidR="008939E3" w:rsidRPr="00F50D98" w:rsidRDefault="008939E3" w:rsidP="004E02BE">
    <w:pPr>
      <w:tabs>
        <w:tab w:val="right" w:pos="1071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15950" w14:textId="77777777" w:rsidR="00F2144A" w:rsidRDefault="00F2144A">
      <w:r>
        <w:separator/>
      </w:r>
    </w:p>
  </w:footnote>
  <w:footnote w:type="continuationSeparator" w:id="0">
    <w:p w14:paraId="0C65CF50" w14:textId="77777777" w:rsidR="00F2144A" w:rsidRDefault="00F2144A">
      <w:r>
        <w:continuationSeparator/>
      </w:r>
    </w:p>
  </w:footnote>
  <w:footnote w:type="continuationNotice" w:id="1">
    <w:p w14:paraId="74F04BCF" w14:textId="77777777" w:rsidR="00F2144A" w:rsidRDefault="00F2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A00DF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A00DF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8866F5A" w:rsidR="00ED04EC" w:rsidRPr="004A00DF" w:rsidRDefault="009B2494" w:rsidP="00ED04EC">
          <w:pPr>
            <w:pStyle w:val="Header"/>
            <w:rPr>
              <w:rFonts w:cs="Arial"/>
              <w:sz w:val="16"/>
              <w:szCs w:val="16"/>
            </w:rPr>
          </w:pPr>
          <w:r w:rsidRPr="004A00DF">
            <w:rPr>
              <w:rFonts w:cs="Arial"/>
              <w:sz w:val="16"/>
              <w:szCs w:val="16"/>
            </w:rPr>
            <w:t>2380-A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90B47"/>
    <w:multiLevelType w:val="hybridMultilevel"/>
    <w:tmpl w:val="ACDE2B3C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E6164"/>
    <w:multiLevelType w:val="hybridMultilevel"/>
    <w:tmpl w:val="1500F67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A74B05"/>
    <w:multiLevelType w:val="hybridMultilevel"/>
    <w:tmpl w:val="F872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B2FA9"/>
    <w:multiLevelType w:val="hybridMultilevel"/>
    <w:tmpl w:val="D6FE62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E3971"/>
    <w:multiLevelType w:val="hybridMultilevel"/>
    <w:tmpl w:val="D19CD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F065C"/>
    <w:multiLevelType w:val="hybridMultilevel"/>
    <w:tmpl w:val="4ECAE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A7BEF"/>
    <w:multiLevelType w:val="hybridMultilevel"/>
    <w:tmpl w:val="748A4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D0FE8"/>
    <w:multiLevelType w:val="hybridMultilevel"/>
    <w:tmpl w:val="D122AC7C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180113"/>
    <w:multiLevelType w:val="hybridMultilevel"/>
    <w:tmpl w:val="1834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F6FD5"/>
    <w:multiLevelType w:val="hybridMultilevel"/>
    <w:tmpl w:val="147C3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4"/>
  </w:num>
  <w:num w:numId="18" w16cid:durableId="299724409">
    <w:abstractNumId w:val="24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6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8"/>
  </w:num>
  <w:num w:numId="26" w16cid:durableId="1950313333">
    <w:abstractNumId w:val="22"/>
  </w:num>
  <w:num w:numId="27" w16cid:durableId="1866016584">
    <w:abstractNumId w:val="20"/>
  </w:num>
  <w:num w:numId="28" w16cid:durableId="1785074864">
    <w:abstractNumId w:val="25"/>
  </w:num>
  <w:num w:numId="29" w16cid:durableId="1234006559">
    <w:abstractNumId w:val="27"/>
  </w:num>
  <w:num w:numId="30" w16cid:durableId="1786386546">
    <w:abstractNumId w:val="35"/>
  </w:num>
  <w:num w:numId="31" w16cid:durableId="1247761569">
    <w:abstractNumId w:val="33"/>
  </w:num>
  <w:num w:numId="32" w16cid:durableId="1475370940">
    <w:abstractNumId w:val="11"/>
  </w:num>
  <w:num w:numId="33" w16cid:durableId="1616054853">
    <w:abstractNumId w:val="31"/>
  </w:num>
  <w:num w:numId="34" w16cid:durableId="521553316">
    <w:abstractNumId w:val="21"/>
  </w:num>
  <w:num w:numId="35" w16cid:durableId="963122016">
    <w:abstractNumId w:val="32"/>
  </w:num>
  <w:num w:numId="36" w16cid:durableId="907887446">
    <w:abstractNumId w:val="17"/>
  </w:num>
  <w:num w:numId="37" w16cid:durableId="1863936915">
    <w:abstractNumId w:val="29"/>
    <w:lvlOverride w:ilvl="0">
      <w:startOverride w:val="1"/>
    </w:lvlOverride>
  </w:num>
  <w:num w:numId="38" w16cid:durableId="198635168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6AF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CA5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869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CEB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5C8"/>
    <w:rsid w:val="000F4745"/>
    <w:rsid w:val="000F5383"/>
    <w:rsid w:val="000F5A0F"/>
    <w:rsid w:val="000F61E0"/>
    <w:rsid w:val="000F677F"/>
    <w:rsid w:val="000F69A0"/>
    <w:rsid w:val="000F6E71"/>
    <w:rsid w:val="000F75BA"/>
    <w:rsid w:val="00100398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5A2A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640F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09A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93A"/>
    <w:rsid w:val="00183B46"/>
    <w:rsid w:val="0018562F"/>
    <w:rsid w:val="0018575D"/>
    <w:rsid w:val="0018586D"/>
    <w:rsid w:val="001858C6"/>
    <w:rsid w:val="00185A9C"/>
    <w:rsid w:val="00185C58"/>
    <w:rsid w:val="0018616B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DE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8C5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4FE3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3AB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AC2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C29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371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A7F20"/>
    <w:rsid w:val="003B009E"/>
    <w:rsid w:val="003B1472"/>
    <w:rsid w:val="003B1A5F"/>
    <w:rsid w:val="003B1D0F"/>
    <w:rsid w:val="003B282B"/>
    <w:rsid w:val="003B2B19"/>
    <w:rsid w:val="003B31E7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C78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2DA2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208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2F95"/>
    <w:rsid w:val="004932BB"/>
    <w:rsid w:val="00493AED"/>
    <w:rsid w:val="00494054"/>
    <w:rsid w:val="00494B52"/>
    <w:rsid w:val="00495ADE"/>
    <w:rsid w:val="0049611C"/>
    <w:rsid w:val="00497D66"/>
    <w:rsid w:val="004A00DF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2BE"/>
    <w:rsid w:val="004E0DA9"/>
    <w:rsid w:val="004E0DDE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6F86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28A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288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0FA8"/>
    <w:rsid w:val="00621772"/>
    <w:rsid w:val="00622770"/>
    <w:rsid w:val="00622801"/>
    <w:rsid w:val="00622BDF"/>
    <w:rsid w:val="00623221"/>
    <w:rsid w:val="006236E5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0FD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3DC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21A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1C5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032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0F0A"/>
    <w:rsid w:val="0078169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291"/>
    <w:rsid w:val="00797531"/>
    <w:rsid w:val="00797A9A"/>
    <w:rsid w:val="007A05B6"/>
    <w:rsid w:val="007A141E"/>
    <w:rsid w:val="007A1AA9"/>
    <w:rsid w:val="007A3667"/>
    <w:rsid w:val="007A56B7"/>
    <w:rsid w:val="007A5988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100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4F4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980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3A1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0A8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9E3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4B7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05FF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999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00FF"/>
    <w:rsid w:val="009517E1"/>
    <w:rsid w:val="00951B46"/>
    <w:rsid w:val="009533D9"/>
    <w:rsid w:val="0095377B"/>
    <w:rsid w:val="00953D64"/>
    <w:rsid w:val="00953EB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1914"/>
    <w:rsid w:val="00962152"/>
    <w:rsid w:val="009625E8"/>
    <w:rsid w:val="0096364A"/>
    <w:rsid w:val="00963AA8"/>
    <w:rsid w:val="00963D8C"/>
    <w:rsid w:val="00963F51"/>
    <w:rsid w:val="00964BA2"/>
    <w:rsid w:val="009663FF"/>
    <w:rsid w:val="00967295"/>
    <w:rsid w:val="00967BB3"/>
    <w:rsid w:val="00967BFF"/>
    <w:rsid w:val="009708F2"/>
    <w:rsid w:val="00970D2C"/>
    <w:rsid w:val="00971292"/>
    <w:rsid w:val="00971AAF"/>
    <w:rsid w:val="00971DFD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C4F"/>
    <w:rsid w:val="009B0F2B"/>
    <w:rsid w:val="009B1482"/>
    <w:rsid w:val="009B1B86"/>
    <w:rsid w:val="009B2494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16F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613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138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57F2"/>
    <w:rsid w:val="00A661A9"/>
    <w:rsid w:val="00A66B5B"/>
    <w:rsid w:val="00A66E07"/>
    <w:rsid w:val="00A672B3"/>
    <w:rsid w:val="00A676CB"/>
    <w:rsid w:val="00A67BE5"/>
    <w:rsid w:val="00A70249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55C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A7FB6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CC0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153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5C25"/>
    <w:rsid w:val="00BF6C09"/>
    <w:rsid w:val="00BF6C1A"/>
    <w:rsid w:val="00BF7A85"/>
    <w:rsid w:val="00BF7D3E"/>
    <w:rsid w:val="00BF7F32"/>
    <w:rsid w:val="00C007A6"/>
    <w:rsid w:val="00C00D6D"/>
    <w:rsid w:val="00C00DBA"/>
    <w:rsid w:val="00C01A90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2A8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92A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120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5CC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87F40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088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62B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354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44A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5C5E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878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2BC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97F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8231A0-1978-4203-A08A-4192C197498F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940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zoledronic acid-Reclast 2380-A SGM 2023</vt:lpstr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zoledronic acid-Reclast SGM 2380-A</dc:title>
  <dc:subject>zoledronic acid-Reclast SGM 2380-A</dc:subject>
  <dc:creator>CVS Caremark</dc:creator>
  <cp:keywords/>
  <cp:lastModifiedBy>Ortiz, Erica M</cp:lastModifiedBy>
  <cp:revision>5</cp:revision>
  <cp:lastPrinted>2018-01-09T05:01:00Z</cp:lastPrinted>
  <dcterms:created xsi:type="dcterms:W3CDTF">2025-03-07T19:56:00Z</dcterms:created>
  <dcterms:modified xsi:type="dcterms:W3CDTF">2025-03-07T19:58:00Z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